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1ABC" w14:textId="16BA20AD" w:rsidR="002268A2" w:rsidRPr="00C70752" w:rsidRDefault="00096205" w:rsidP="00096205">
      <w:pPr>
        <w:pStyle w:val="ANNEXZ"/>
        <w:numPr>
          <w:ilvl w:val="0"/>
          <w:numId w:val="0"/>
        </w:numPr>
      </w:pPr>
      <w:r>
        <w:t>Annexe</w:t>
      </w:r>
      <w:r w:rsidR="006D536A">
        <w:t> </w:t>
      </w:r>
      <w:r>
        <w:t>Z…</w:t>
      </w:r>
      <w:r>
        <w:br/>
      </w:r>
      <w:bookmarkStart w:id="0" w:name="_Toc433278640"/>
      <w:bookmarkStart w:id="1" w:name="_Toc490049593"/>
      <w:r>
        <w:rPr>
          <w:b w:val="0"/>
        </w:rPr>
        <w:t>(informative)</w:t>
      </w:r>
      <w:r>
        <w:rPr>
          <w:b w:val="0"/>
        </w:rPr>
        <w:br/>
      </w:r>
      <w:r>
        <w:br/>
        <w:t>Relation entre la présente Norme européenne et les exigences essentielles concernées du Règlement (UE) 2023/1230</w:t>
      </w:r>
      <w:bookmarkEnd w:id="0"/>
      <w:bookmarkEnd w:id="1"/>
    </w:p>
    <w:p w14:paraId="7EAF42C9" w14:textId="55BFE9E4" w:rsidR="002268A2" w:rsidRPr="00B87161" w:rsidRDefault="002268A2" w:rsidP="008B5527">
      <w:pPr>
        <w:autoSpaceDE w:val="0"/>
        <w:autoSpaceDN w:val="0"/>
        <w:adjustRightInd w:val="0"/>
        <w:rPr>
          <w:rFonts w:eastAsia="Calibri" w:cs="Times New Roman"/>
          <w:b/>
          <w:bCs/>
          <w:szCs w:val="24"/>
        </w:rPr>
      </w:pPr>
      <w:r>
        <w:t xml:space="preserve">La présente Norme européenne a été élaborée en réponse à </w:t>
      </w:r>
      <w:r w:rsidR="000E4493" w:rsidRPr="000E4493">
        <w:t>la</w:t>
      </w:r>
      <w:r w:rsidR="000E4493">
        <w:rPr>
          <w:color w:val="3333FF"/>
        </w:rPr>
        <w:t xml:space="preserve"> </w:t>
      </w:r>
      <w:r>
        <w:t xml:space="preserve">demande de normalisation </w:t>
      </w:r>
      <w:bookmarkStart w:id="2" w:name="_Hlk144215891"/>
      <w:bookmarkStart w:id="3" w:name="_Hlk144290607"/>
      <w:r>
        <w:t>C(202</w:t>
      </w:r>
      <w:r>
        <w:rPr>
          <w:color w:val="3333FF"/>
        </w:rPr>
        <w:t>X</w:t>
      </w:r>
      <w:r>
        <w:t>)</w:t>
      </w:r>
      <w:r>
        <w:rPr>
          <w:color w:val="3333FF"/>
        </w:rPr>
        <w:t>XXXX</w:t>
      </w:r>
      <w:bookmarkEnd w:id="2"/>
      <w:r>
        <w:rPr>
          <w:color w:val="3333FF"/>
        </w:rPr>
        <w:t xml:space="preserve"> final</w:t>
      </w:r>
      <w:r w:rsidR="004F4683">
        <w:rPr>
          <w:rStyle w:val="FootnoteReference"/>
          <w:rFonts w:eastAsia="Calibri" w:cs="Times New Roman"/>
          <w:color w:val="3333FF"/>
          <w:szCs w:val="24"/>
          <w:lang w:eastAsia="en-US"/>
        </w:rPr>
        <w:footnoteReference w:id="1"/>
      </w:r>
      <w:r>
        <w:rPr>
          <w:color w:val="3333FF"/>
        </w:rPr>
        <w:t xml:space="preserve"> </w:t>
      </w:r>
      <w:bookmarkEnd w:id="3"/>
      <w:r>
        <w:t>de la Commission européenne</w:t>
      </w:r>
      <w:r w:rsidR="000E4493">
        <w:t>/Décision d'exécution du</w:t>
      </w:r>
      <w:r w:rsidR="000E4493">
        <w:rPr>
          <w:color w:val="3333FF"/>
        </w:rPr>
        <w:t xml:space="preserve"> JJ mois AAAA</w:t>
      </w:r>
      <w:r w:rsidR="000E4493">
        <w:rPr>
          <w:rStyle w:val="FootnoteReference"/>
          <w:rFonts w:eastAsia="Calibri" w:cs="Times New Roman"/>
          <w:szCs w:val="24"/>
          <w:lang w:eastAsia="en-US"/>
        </w:rPr>
        <w:footnoteReference w:id="2"/>
      </w:r>
      <w:r w:rsidR="000E4493">
        <w:rPr>
          <w:color w:val="3333FF"/>
        </w:rPr>
        <w:t xml:space="preserve"> </w:t>
      </w:r>
      <w:r w:rsidR="000E4493">
        <w:t xml:space="preserve">de la Commission européenne </w:t>
      </w:r>
      <w:r>
        <w:t>adressée au Comité européen de normalisation et au Comité européen de normalisation électrotechnique concernant les machines à l’appui du Règlement (UE)</w:t>
      </w:r>
      <w:r w:rsidR="00711C35">
        <w:t> </w:t>
      </w:r>
      <w:r>
        <w:t>2023/1230 du Parlement européen et du Conseil</w:t>
      </w:r>
      <w:r w:rsidR="00711C35">
        <w:t> </w:t>
      </w:r>
      <w:r>
        <w:t>(M/</w:t>
      </w:r>
      <w:r>
        <w:rPr>
          <w:color w:val="3333FF"/>
        </w:rPr>
        <w:t>XXX</w:t>
      </w:r>
      <w:r>
        <w:t>)</w:t>
      </w:r>
      <w:r w:rsidR="004F4683">
        <w:rPr>
          <w:rStyle w:val="FootnoteReference"/>
          <w:rFonts w:eastAsia="Calibri" w:cs="Times New Roman"/>
          <w:szCs w:val="24"/>
          <w:lang w:eastAsia="en-US"/>
        </w:rPr>
        <w:footnoteReference w:id="3"/>
      </w:r>
      <w:r>
        <w:t xml:space="preserve"> afin d’offrir un moyen volontaire de se conformer aux exigences essentielles du Règlement</w:t>
      </w:r>
      <w:r w:rsidR="00711C35">
        <w:t> </w:t>
      </w:r>
      <w:r>
        <w:t>(UE) 2023/1230 du Parlement européen et du Conseil du 14</w:t>
      </w:r>
      <w:r w:rsidR="006D536A">
        <w:t> </w:t>
      </w:r>
      <w:r>
        <w:t>juin</w:t>
      </w:r>
      <w:r w:rsidR="006D536A">
        <w:t> </w:t>
      </w:r>
      <w:r>
        <w:t>2023 sur les machines (JO</w:t>
      </w:r>
      <w:r w:rsidR="00653FBD">
        <w:t> </w:t>
      </w:r>
      <w:r>
        <w:t>L</w:t>
      </w:r>
      <w:r w:rsidR="00653FBD">
        <w:t> </w:t>
      </w:r>
      <w:r>
        <w:t>165, 29.6.2023).</w:t>
      </w:r>
    </w:p>
    <w:p w14:paraId="24A20479" w14:textId="22453DCE" w:rsidR="002268A2" w:rsidRPr="00C70752" w:rsidRDefault="002268A2" w:rsidP="002268A2">
      <w:pPr>
        <w:rPr>
          <w:rFonts w:eastAsia="Times New Roman" w:cs="Arial"/>
        </w:rPr>
      </w:pPr>
      <w:r>
        <w:t>Une fois la présente norme citée au Journal officiel de l’Union européenne au titre dudit Règlement, la conformité aux articles normatifs de cette norme indiqués dans le Tableau</w:t>
      </w:r>
      <w:r w:rsidR="00711C35">
        <w:t> </w:t>
      </w:r>
      <w:r>
        <w:t>Z....1 confère, dans les limites du domaine d’application de la norme, présomption de conformité aux exigences essentielles correspondantes dudit Règlement et de la réglementation AELE associée.</w:t>
      </w:r>
    </w:p>
    <w:p w14:paraId="76924C47" w14:textId="5A0FE601" w:rsidR="002268A2" w:rsidRPr="00C70752" w:rsidRDefault="002268A2" w:rsidP="002268A2">
      <w:pPr>
        <w:pStyle w:val="Tabletitle"/>
      </w:pPr>
      <w:r>
        <w:t>Tableau </w:t>
      </w:r>
      <w:proofErr w:type="gramStart"/>
      <w:r>
        <w:t>Z….</w:t>
      </w:r>
      <w:proofErr w:type="gramEnd"/>
      <w:r>
        <w:t>1 — Correspondance entre la présente Norme européenne et l'Annexe III du Règlement (UE) 2023/1230</w:t>
      </w:r>
    </w:p>
    <w:tbl>
      <w:tblPr>
        <w:tblW w:w="975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50"/>
        <w:gridCol w:w="3251"/>
        <w:gridCol w:w="3251"/>
      </w:tblGrid>
      <w:tr w:rsidR="00813DCB" w:rsidRPr="00C70752" w14:paraId="68576335" w14:textId="77777777" w:rsidTr="00813DCB">
        <w:tc>
          <w:tcPr>
            <w:tcW w:w="3250" w:type="dxa"/>
            <w:tcBorders>
              <w:top w:val="single" w:sz="12" w:space="0" w:color="000000"/>
              <w:bottom w:val="single" w:sz="12" w:space="0" w:color="000000"/>
              <w:tl2br w:val="nil"/>
            </w:tcBorders>
            <w:shd w:val="clear" w:color="auto" w:fill="auto"/>
          </w:tcPr>
          <w:p w14:paraId="65853414" w14:textId="0D4B713B" w:rsidR="002268A2" w:rsidRPr="00813DCB" w:rsidRDefault="007C67CF" w:rsidP="00813DCB">
            <w:pPr>
              <w:pStyle w:val="Tabletext10"/>
              <w:jc w:val="left"/>
              <w:rPr>
                <w:rFonts w:eastAsia="Times New Roman" w:cs="Arial"/>
                <w:b/>
              </w:rPr>
            </w:pPr>
            <w:r>
              <w:rPr>
                <w:b/>
              </w:rPr>
              <w:t>Exigences essentielles concernées du Règlement (UE) 2023/1230</w:t>
            </w:r>
          </w:p>
          <w:p w14:paraId="422BDFDF" w14:textId="77777777" w:rsidR="00F369E3" w:rsidRPr="00813DCB" w:rsidRDefault="00F369E3" w:rsidP="00813DCB">
            <w:pPr>
              <w:pStyle w:val="Tabletext10"/>
              <w:jc w:val="left"/>
              <w:rPr>
                <w:b/>
              </w:rPr>
            </w:pPr>
          </w:p>
        </w:tc>
        <w:tc>
          <w:tcPr>
            <w:tcW w:w="3251" w:type="dxa"/>
            <w:tcBorders>
              <w:bottom w:val="single" w:sz="12" w:space="0" w:color="000000"/>
            </w:tcBorders>
            <w:shd w:val="clear" w:color="auto" w:fill="auto"/>
          </w:tcPr>
          <w:p w14:paraId="28384A7A" w14:textId="77777777" w:rsidR="002268A2" w:rsidRPr="00813DCB" w:rsidRDefault="002268A2" w:rsidP="00813DCB">
            <w:pPr>
              <w:pStyle w:val="Tabletext10"/>
              <w:jc w:val="left"/>
              <w:rPr>
                <w:b/>
              </w:rPr>
            </w:pPr>
            <w:r>
              <w:rPr>
                <w:b/>
              </w:rPr>
              <w:t>Articles/paragraphes de la présente Norme européenne</w:t>
            </w:r>
          </w:p>
        </w:tc>
        <w:tc>
          <w:tcPr>
            <w:tcW w:w="3251" w:type="dxa"/>
            <w:tcBorders>
              <w:bottom w:val="single" w:sz="12" w:space="0" w:color="000000"/>
            </w:tcBorders>
            <w:shd w:val="clear" w:color="auto" w:fill="auto"/>
          </w:tcPr>
          <w:p w14:paraId="128DE358" w14:textId="77777777" w:rsidR="002268A2" w:rsidRPr="00813DCB" w:rsidRDefault="002268A2" w:rsidP="00813DCB">
            <w:pPr>
              <w:pStyle w:val="Tabletext10"/>
              <w:jc w:val="left"/>
              <w:rPr>
                <w:b/>
              </w:rPr>
            </w:pPr>
            <w:r>
              <w:rPr>
                <w:b/>
              </w:rPr>
              <w:t>Remarques/Notes</w:t>
            </w:r>
          </w:p>
        </w:tc>
      </w:tr>
      <w:tr w:rsidR="003631A8" w:rsidRPr="003631A8" w14:paraId="33D131AF" w14:textId="77777777" w:rsidTr="00813DCB">
        <w:trPr>
          <w:trHeight w:val="285"/>
        </w:trPr>
        <w:tc>
          <w:tcPr>
            <w:tcW w:w="3250" w:type="dxa"/>
            <w:shd w:val="clear" w:color="auto" w:fill="auto"/>
            <w:hideMark/>
          </w:tcPr>
          <w:p w14:paraId="7B85E9F4" w14:textId="1CD24D97" w:rsidR="003631A8" w:rsidRPr="00813DCB" w:rsidRDefault="00565FEA" w:rsidP="00813DCB">
            <w:pPr>
              <w:spacing w:after="0" w:line="240" w:lineRule="auto"/>
              <w:jc w:val="left"/>
              <w:rPr>
                <w:rFonts w:eastAsia="Times New Roman" w:cs="Arial"/>
                <w:color w:val="000000"/>
                <w:sz w:val="20"/>
                <w:szCs w:val="22"/>
              </w:rPr>
            </w:pPr>
            <w:r>
              <w:rPr>
                <w:i/>
                <w:sz w:val="20"/>
              </w:rPr>
              <w:t xml:space="preserve">[Une </w:t>
            </w:r>
            <w:r w:rsidR="000C4FB0">
              <w:rPr>
                <w:i/>
                <w:sz w:val="20"/>
              </w:rPr>
              <w:t xml:space="preserve">seule </w:t>
            </w:r>
            <w:r>
              <w:rPr>
                <w:i/>
                <w:sz w:val="20"/>
              </w:rPr>
              <w:t>exigence essentielle par ligne]</w:t>
            </w:r>
          </w:p>
        </w:tc>
        <w:tc>
          <w:tcPr>
            <w:tcW w:w="3251" w:type="dxa"/>
            <w:shd w:val="clear" w:color="auto" w:fill="auto"/>
            <w:hideMark/>
          </w:tcPr>
          <w:p w14:paraId="5B6D1F97" w14:textId="4FBDE373" w:rsidR="003631A8" w:rsidRPr="000C4FB0" w:rsidRDefault="00565FEA" w:rsidP="00813DCB">
            <w:pPr>
              <w:spacing w:after="0" w:line="240" w:lineRule="auto"/>
              <w:jc w:val="left"/>
              <w:rPr>
                <w:rFonts w:eastAsia="Times New Roman" w:cs="Arial"/>
                <w:color w:val="000000"/>
                <w:sz w:val="20"/>
                <w:szCs w:val="22"/>
              </w:rPr>
            </w:pPr>
            <w:r w:rsidRPr="000C4FB0">
              <w:rPr>
                <w:sz w:val="20"/>
              </w:rPr>
              <w:t>[</w:t>
            </w:r>
            <w:r w:rsidR="000C4FB0" w:rsidRPr="000C4FB0">
              <w:rPr>
                <w:rFonts w:eastAsia="Times New Roman" w:cs="Arial"/>
                <w:color w:val="000000"/>
                <w:sz w:val="20"/>
                <w:szCs w:val="22"/>
                <w:lang w:val="en-GB" w:eastAsia="de-DE"/>
              </w:rPr>
              <w:t>Les articles normatifs pertinents sont mis en rapport avec chacune des exigences essentielles</w:t>
            </w:r>
            <w:r w:rsidRPr="000C4FB0">
              <w:rPr>
                <w:rFonts w:eastAsia="Times New Roman" w:cs="Arial"/>
                <w:color w:val="000000"/>
                <w:sz w:val="20"/>
                <w:szCs w:val="22"/>
                <w:lang w:val="en-GB" w:eastAsia="de-DE"/>
              </w:rPr>
              <w:t>]</w:t>
            </w:r>
          </w:p>
        </w:tc>
        <w:tc>
          <w:tcPr>
            <w:tcW w:w="3251" w:type="dxa"/>
            <w:shd w:val="clear" w:color="auto" w:fill="auto"/>
            <w:noWrap/>
            <w:hideMark/>
          </w:tcPr>
          <w:p w14:paraId="0461B7B4" w14:textId="77777777" w:rsidR="003631A8" w:rsidRPr="00813DCB" w:rsidRDefault="003631A8" w:rsidP="00813DCB">
            <w:pPr>
              <w:spacing w:after="0" w:line="240" w:lineRule="auto"/>
              <w:jc w:val="left"/>
              <w:rPr>
                <w:rFonts w:eastAsia="Times New Roman" w:cs="Arial"/>
                <w:color w:val="000000"/>
                <w:sz w:val="20"/>
                <w:szCs w:val="22"/>
              </w:rPr>
            </w:pPr>
            <w:r>
              <w:rPr>
                <w:color w:val="000000"/>
                <w:sz w:val="20"/>
              </w:rPr>
              <w:t> </w:t>
            </w:r>
          </w:p>
        </w:tc>
      </w:tr>
      <w:tr w:rsidR="00F369E3" w:rsidRPr="003631A8" w14:paraId="342E625B" w14:textId="77777777" w:rsidTr="00813DCB">
        <w:trPr>
          <w:trHeight w:val="570"/>
        </w:trPr>
        <w:tc>
          <w:tcPr>
            <w:tcW w:w="3250" w:type="dxa"/>
            <w:shd w:val="clear" w:color="auto" w:fill="auto"/>
          </w:tcPr>
          <w:p w14:paraId="7B6BD060" w14:textId="117769DC" w:rsidR="00F369E3" w:rsidRPr="00813DCB" w:rsidRDefault="00565FEA" w:rsidP="00813DCB">
            <w:pPr>
              <w:spacing w:after="0" w:line="240" w:lineRule="auto"/>
              <w:jc w:val="left"/>
              <w:rPr>
                <w:rFonts w:eastAsia="Times New Roman" w:cs="Arial"/>
                <w:color w:val="FF0000"/>
                <w:sz w:val="20"/>
                <w:szCs w:val="22"/>
              </w:rPr>
            </w:pPr>
            <w:r>
              <w:rPr>
                <w:i/>
                <w:color w:val="FF0000"/>
                <w:sz w:val="20"/>
              </w:rPr>
              <w:t xml:space="preserve">[Une </w:t>
            </w:r>
            <w:r w:rsidR="000C4FB0">
              <w:rPr>
                <w:i/>
                <w:color w:val="FF0000"/>
                <w:sz w:val="20"/>
              </w:rPr>
              <w:t xml:space="preserve">seule </w:t>
            </w:r>
            <w:r>
              <w:rPr>
                <w:i/>
                <w:color w:val="FF0000"/>
                <w:sz w:val="20"/>
              </w:rPr>
              <w:t>exigence essentielle par ligne]</w:t>
            </w:r>
          </w:p>
        </w:tc>
        <w:tc>
          <w:tcPr>
            <w:tcW w:w="3251" w:type="dxa"/>
            <w:shd w:val="clear" w:color="auto" w:fill="auto"/>
          </w:tcPr>
          <w:p w14:paraId="7225EFDA" w14:textId="77777777" w:rsidR="00F369E3" w:rsidRPr="00813DCB" w:rsidRDefault="00F369E3" w:rsidP="00813DCB">
            <w:pPr>
              <w:spacing w:after="0" w:line="240" w:lineRule="auto"/>
              <w:jc w:val="left"/>
              <w:rPr>
                <w:rFonts w:eastAsia="Times New Roman" w:cs="Arial"/>
                <w:b/>
                <w:color w:val="000000"/>
                <w:sz w:val="20"/>
                <w:szCs w:val="22"/>
              </w:rPr>
            </w:pPr>
            <w:r>
              <w:rPr>
                <w:b/>
                <w:color w:val="FF0000"/>
                <w:sz w:val="20"/>
              </w:rPr>
              <w:t>-</w:t>
            </w:r>
          </w:p>
        </w:tc>
        <w:tc>
          <w:tcPr>
            <w:tcW w:w="3251" w:type="dxa"/>
            <w:shd w:val="clear" w:color="auto" w:fill="auto"/>
            <w:noWrap/>
          </w:tcPr>
          <w:p w14:paraId="346F7D80" w14:textId="77777777" w:rsidR="00F369E3" w:rsidRPr="00813DCB" w:rsidRDefault="00F369E3" w:rsidP="00813DCB">
            <w:pPr>
              <w:spacing w:after="0" w:line="240" w:lineRule="auto"/>
              <w:jc w:val="left"/>
              <w:rPr>
                <w:rFonts w:eastAsia="Times New Roman" w:cs="Arial"/>
                <w:color w:val="000000"/>
                <w:sz w:val="20"/>
                <w:szCs w:val="22"/>
              </w:rPr>
            </w:pPr>
            <w:r>
              <w:rPr>
                <w:color w:val="FF0000"/>
                <w:sz w:val="20"/>
              </w:rPr>
              <w:t>non couverte</w:t>
            </w:r>
          </w:p>
        </w:tc>
      </w:tr>
    </w:tbl>
    <w:p w14:paraId="72800224" w14:textId="77777777" w:rsidR="002268A2" w:rsidRPr="00C70752" w:rsidRDefault="002268A2" w:rsidP="002268A2">
      <w:pPr>
        <w:rPr>
          <w:b/>
        </w:rPr>
      </w:pPr>
    </w:p>
    <w:p w14:paraId="33DF0B0D" w14:textId="77777777" w:rsidR="002268A2" w:rsidRPr="00C70752" w:rsidRDefault="002268A2" w:rsidP="002268A2">
      <w:r>
        <w:rPr>
          <w:b/>
          <w:bCs/>
        </w:rPr>
        <w:lastRenderedPageBreak/>
        <w:t>AVERTISSEMENT</w:t>
      </w:r>
      <w:r>
        <w:t> </w:t>
      </w:r>
      <w:r>
        <w:rPr>
          <w:b/>
          <w:bCs/>
        </w:rPr>
        <w:t>1</w:t>
      </w:r>
      <w:r>
        <w:t xml:space="preserve"> </w:t>
      </w:r>
      <w:r>
        <w:rPr>
          <w:b/>
          <w:bCs/>
        </w:rPr>
        <w:t>—</w:t>
      </w:r>
      <w:r>
        <w:t xml:space="preserve">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0EB7C1D3" w14:textId="77777777" w:rsidR="002268A2" w:rsidRPr="00C70752" w:rsidRDefault="002268A2" w:rsidP="002268A2">
      <w:r>
        <w:rPr>
          <w:b/>
          <w:bCs/>
        </w:rPr>
        <w:t>AVERTISSEMENT 2</w:t>
      </w:r>
      <w:r>
        <w:t xml:space="preserve"> — D'autres dispositions de la législation de l’Union européenne peuvent être applicables aux produits relevant du domaine d'application de la présente norme.</w:t>
      </w:r>
    </w:p>
    <w:p w14:paraId="3A9375CC" w14:textId="77777777" w:rsidR="000D00E1" w:rsidRPr="00873BC9" w:rsidRDefault="000D00E1" w:rsidP="00873BC9"/>
    <w:sectPr w:rsidR="000D00E1" w:rsidRPr="00873BC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9BC4" w14:textId="77777777" w:rsidR="00F97D65" w:rsidRDefault="00F97D65" w:rsidP="002268A2">
      <w:pPr>
        <w:spacing w:after="0" w:line="240" w:lineRule="auto"/>
      </w:pPr>
      <w:r>
        <w:separator/>
      </w:r>
    </w:p>
  </w:endnote>
  <w:endnote w:type="continuationSeparator" w:id="0">
    <w:p w14:paraId="26712C66" w14:textId="77777777" w:rsidR="00F97D65" w:rsidRDefault="00F97D65" w:rsidP="0022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E53D" w14:textId="77777777" w:rsidR="00A074A1" w:rsidRDefault="00A0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8042" w14:textId="77777777" w:rsidR="00A074A1" w:rsidRDefault="00A07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B982" w14:textId="77777777" w:rsidR="00A074A1" w:rsidRDefault="00A0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5A48" w14:textId="77777777" w:rsidR="00F97D65" w:rsidRDefault="00F97D65" w:rsidP="002268A2">
      <w:pPr>
        <w:spacing w:after="0" w:line="240" w:lineRule="auto"/>
      </w:pPr>
      <w:r>
        <w:separator/>
      </w:r>
    </w:p>
  </w:footnote>
  <w:footnote w:type="continuationSeparator" w:id="0">
    <w:p w14:paraId="321E362C" w14:textId="77777777" w:rsidR="00F97D65" w:rsidRDefault="00F97D65" w:rsidP="002268A2">
      <w:pPr>
        <w:spacing w:after="0" w:line="240" w:lineRule="auto"/>
      </w:pPr>
      <w:r>
        <w:continuationSeparator/>
      </w:r>
    </w:p>
  </w:footnote>
  <w:footnote w:id="1">
    <w:p w14:paraId="4D37F284" w14:textId="77777777" w:rsidR="004F4683" w:rsidRPr="009476CB" w:rsidRDefault="004F4683" w:rsidP="004F4683">
      <w:pPr>
        <w:pStyle w:val="FootnoteText"/>
        <w:rPr>
          <w:lang w:val="en-US"/>
        </w:rPr>
      </w:pPr>
    </w:p>
  </w:footnote>
  <w:footnote w:id="2">
    <w:p w14:paraId="7789B627" w14:textId="77777777" w:rsidR="000E4493" w:rsidRPr="00927D88" w:rsidRDefault="000E4493" w:rsidP="000E4493">
      <w:pPr>
        <w:rPr>
          <w:sz w:val="20"/>
        </w:rPr>
      </w:pPr>
      <w:r>
        <w:rPr>
          <w:rStyle w:val="FootnoteReference"/>
        </w:rPr>
        <w:t>1</w:t>
      </w:r>
      <w:r>
        <w:t xml:space="preserve"> </w:t>
      </w:r>
      <w:r>
        <w:rPr>
          <w:rStyle w:val="FootnoteReference"/>
        </w:rPr>
        <w:t>2</w:t>
      </w:r>
      <w:r>
        <w:t xml:space="preserve"> </w:t>
      </w:r>
      <w:r>
        <w:rPr>
          <w:rStyle w:val="FootnoteReference"/>
        </w:rPr>
        <w:t>3</w:t>
      </w:r>
      <w:r>
        <w:t xml:space="preserve"> </w:t>
      </w:r>
      <w:r>
        <w:rPr>
          <w:sz w:val="20"/>
        </w:rPr>
        <w:t xml:space="preserve">Ce modèle doit être utilisé dans les projets de normes harmonisées à l’appui du Règlement Machines. </w:t>
      </w:r>
    </w:p>
    <w:p w14:paraId="791DE86E" w14:textId="77777777" w:rsidR="000E4493" w:rsidRPr="009476CB" w:rsidRDefault="000E4493" w:rsidP="000E4493">
      <w:pPr>
        <w:rPr>
          <w:sz w:val="20"/>
        </w:rPr>
      </w:pPr>
      <w:r>
        <w:rPr>
          <w:sz w:val="20"/>
        </w:rPr>
        <w:t>La demande de normalisation à l’appui du Règlement Machines n’ayant pas encore été adoptée (elle devrait l'être en 2024 et être ensuite acceptée par les BT du CEN et du CENELEC), la référence et la date de la demande de normalisation ne sont pas connues et les références doivent donc être conservées sous la forme « C(202X)XXXX », « JJ mois AAAA » et « M/XXX ».</w:t>
      </w:r>
    </w:p>
    <w:p w14:paraId="0B6AC451" w14:textId="25C03427" w:rsidR="000E4493" w:rsidRPr="009476CB" w:rsidRDefault="002B66E8" w:rsidP="000E4493">
      <w:pPr>
        <w:pStyle w:val="FootnoteText"/>
      </w:pPr>
      <w:r>
        <w:t>Une fois</w:t>
      </w:r>
      <w:r w:rsidR="000E4493">
        <w:t xml:space="preserve"> la demande de normalisation adoptée, ce modèle sera révisé pour inclure les numéros de référence et la date de la demande de normalisation adoptée.</w:t>
      </w:r>
    </w:p>
  </w:footnote>
  <w:footnote w:id="3">
    <w:p w14:paraId="45A48899" w14:textId="71B43A85" w:rsidR="004F4683" w:rsidRPr="004F4683" w:rsidRDefault="004F468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1AA3" w14:textId="77777777" w:rsidR="00A074A1" w:rsidRDefault="00A0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77DF" w14:textId="77777777" w:rsidR="00A074A1" w:rsidRDefault="00A07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E1DD" w14:textId="77777777" w:rsidR="00A074A1" w:rsidRDefault="00A0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71A6F"/>
    <w:multiLevelType w:val="multilevel"/>
    <w:tmpl w:val="BBDA170E"/>
    <w:lvl w:ilvl="0">
      <w:start w:val="1"/>
      <w:numFmt w:val="upperLetter"/>
      <w:pStyle w:val="ANNEXZ"/>
      <w:suff w:val="nothing"/>
      <w:lvlText w:val="Annex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Restart w:val="1"/>
      <w:suff w:val="space"/>
      <w:lvlText w:val="Tabelle Z%1.%9"/>
      <w:lvlJc w:val="left"/>
      <w:pPr>
        <w:ind w:left="0" w:firstLine="0"/>
      </w:pPr>
      <w:rPr>
        <w:rFonts w:hint="default"/>
      </w:rPr>
    </w:lvl>
  </w:abstractNum>
  <w:num w:numId="1" w16cid:durableId="176510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268A2"/>
    <w:rsid w:val="00096205"/>
    <w:rsid w:val="000C4FB0"/>
    <w:rsid w:val="000D00E1"/>
    <w:rsid w:val="000E4493"/>
    <w:rsid w:val="001007BF"/>
    <w:rsid w:val="001677AD"/>
    <w:rsid w:val="002268A2"/>
    <w:rsid w:val="0023194D"/>
    <w:rsid w:val="00240317"/>
    <w:rsid w:val="002424ED"/>
    <w:rsid w:val="00265C3F"/>
    <w:rsid w:val="00281F2B"/>
    <w:rsid w:val="00283DC0"/>
    <w:rsid w:val="00287889"/>
    <w:rsid w:val="002B66E8"/>
    <w:rsid w:val="002D0C07"/>
    <w:rsid w:val="002F7A1D"/>
    <w:rsid w:val="00300464"/>
    <w:rsid w:val="0032228D"/>
    <w:rsid w:val="003631A8"/>
    <w:rsid w:val="0039381A"/>
    <w:rsid w:val="003C02BD"/>
    <w:rsid w:val="003D4916"/>
    <w:rsid w:val="00417608"/>
    <w:rsid w:val="00427F48"/>
    <w:rsid w:val="00465AE1"/>
    <w:rsid w:val="00473BFB"/>
    <w:rsid w:val="004F4683"/>
    <w:rsid w:val="00525B5A"/>
    <w:rsid w:val="0054164D"/>
    <w:rsid w:val="005538C7"/>
    <w:rsid w:val="00565FEA"/>
    <w:rsid w:val="00583F3D"/>
    <w:rsid w:val="005B31C9"/>
    <w:rsid w:val="006526CE"/>
    <w:rsid w:val="00653FBD"/>
    <w:rsid w:val="006A41D4"/>
    <w:rsid w:val="006B66A9"/>
    <w:rsid w:val="006D536A"/>
    <w:rsid w:val="00705F12"/>
    <w:rsid w:val="00711C35"/>
    <w:rsid w:val="007836D9"/>
    <w:rsid w:val="00784EF0"/>
    <w:rsid w:val="007B00CE"/>
    <w:rsid w:val="007B0FEA"/>
    <w:rsid w:val="007C67CF"/>
    <w:rsid w:val="00813DCB"/>
    <w:rsid w:val="00843716"/>
    <w:rsid w:val="008531E8"/>
    <w:rsid w:val="00873BC9"/>
    <w:rsid w:val="008B5527"/>
    <w:rsid w:val="008C72FF"/>
    <w:rsid w:val="008E00E3"/>
    <w:rsid w:val="009225F7"/>
    <w:rsid w:val="009476CB"/>
    <w:rsid w:val="00950FF2"/>
    <w:rsid w:val="009512FB"/>
    <w:rsid w:val="00983CDE"/>
    <w:rsid w:val="00990375"/>
    <w:rsid w:val="009E09CE"/>
    <w:rsid w:val="00A074A1"/>
    <w:rsid w:val="00A22F7E"/>
    <w:rsid w:val="00A73A76"/>
    <w:rsid w:val="00AB3D3E"/>
    <w:rsid w:val="00B2606B"/>
    <w:rsid w:val="00B36584"/>
    <w:rsid w:val="00B54686"/>
    <w:rsid w:val="00B87161"/>
    <w:rsid w:val="00BD39FF"/>
    <w:rsid w:val="00BE10E1"/>
    <w:rsid w:val="00BE3E46"/>
    <w:rsid w:val="00C41682"/>
    <w:rsid w:val="00C70F9E"/>
    <w:rsid w:val="00D2644E"/>
    <w:rsid w:val="00D40DE3"/>
    <w:rsid w:val="00D50843"/>
    <w:rsid w:val="00D942F1"/>
    <w:rsid w:val="00DA70D9"/>
    <w:rsid w:val="00DD1172"/>
    <w:rsid w:val="00DD3D48"/>
    <w:rsid w:val="00E8411B"/>
    <w:rsid w:val="00EA6566"/>
    <w:rsid w:val="00F01829"/>
    <w:rsid w:val="00F0667E"/>
    <w:rsid w:val="00F369E3"/>
    <w:rsid w:val="00F51249"/>
    <w:rsid w:val="00F60D97"/>
    <w:rsid w:val="00F97D65"/>
    <w:rsid w:val="00FD298E"/>
    <w:rsid w:val="00FD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6840"/>
  <w15:chartTrackingRefBased/>
  <w15:docId w15:val="{2E711A75-4291-4C2C-9EBE-7B6A1A4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2"/>
    <w:pPr>
      <w:spacing w:after="240" w:line="230" w:lineRule="atLeast"/>
      <w:jc w:val="both"/>
    </w:pPr>
    <w:rPr>
      <w:rFonts w:ascii="Cambria" w:eastAsia="MS Mincho" w:hAnsi="Cambria" w:cs="Cambria"/>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Z">
    <w:name w:val="ANNEXZ"/>
    <w:basedOn w:val="Normal"/>
    <w:next w:val="Normal"/>
    <w:rsid w:val="002268A2"/>
    <w:pPr>
      <w:keepNext/>
      <w:pageBreakBefore/>
      <w:numPr>
        <w:numId w:val="1"/>
      </w:numPr>
      <w:spacing w:after="760" w:line="310" w:lineRule="exact"/>
      <w:jc w:val="center"/>
      <w:outlineLvl w:val="0"/>
    </w:pPr>
    <w:rPr>
      <w:b/>
      <w:sz w:val="28"/>
      <w:szCs w:val="28"/>
    </w:rPr>
  </w:style>
  <w:style w:type="paragraph" w:customStyle="1" w:styleId="Tabletext10">
    <w:name w:val="Table text (10)"/>
    <w:basedOn w:val="Normal"/>
    <w:rsid w:val="002268A2"/>
    <w:pPr>
      <w:spacing w:before="60" w:after="60"/>
    </w:pPr>
    <w:rPr>
      <w:sz w:val="20"/>
    </w:rPr>
  </w:style>
  <w:style w:type="paragraph" w:customStyle="1" w:styleId="Tabletitle">
    <w:name w:val="Table title"/>
    <w:basedOn w:val="Normal"/>
    <w:next w:val="Normal"/>
    <w:rsid w:val="002268A2"/>
    <w:pPr>
      <w:keepNext/>
      <w:suppressAutoHyphens/>
      <w:spacing w:before="120" w:after="120" w:line="230" w:lineRule="exact"/>
      <w:jc w:val="center"/>
    </w:pPr>
    <w:rPr>
      <w:b/>
    </w:rPr>
  </w:style>
  <w:style w:type="table" w:styleId="TableGrid5">
    <w:name w:val="Table Grid 5"/>
    <w:basedOn w:val="TableNormal"/>
    <w:rsid w:val="002268A2"/>
    <w:pPr>
      <w:spacing w:after="240" w:line="230" w:lineRule="atLeast"/>
      <w:jc w:val="both"/>
    </w:pPr>
    <w:rPr>
      <w:rFonts w:ascii="Cambria" w:eastAsia="Cambria" w:hAnsi="Cambria" w:cs="Cambria"/>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784E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4EF0"/>
    <w:rPr>
      <w:rFonts w:ascii="Segoe UI" w:eastAsia="MS Mincho" w:hAnsi="Segoe UI" w:cs="Segoe UI"/>
      <w:sz w:val="18"/>
      <w:szCs w:val="18"/>
      <w:lang w:val="fr-FR" w:eastAsia="fr-FR"/>
    </w:rPr>
  </w:style>
  <w:style w:type="paragraph" w:styleId="Header">
    <w:name w:val="header"/>
    <w:basedOn w:val="Normal"/>
    <w:link w:val="HeaderChar"/>
    <w:uiPriority w:val="99"/>
    <w:unhideWhenUsed/>
    <w:rsid w:val="00784EF0"/>
    <w:pPr>
      <w:tabs>
        <w:tab w:val="center" w:pos="4536"/>
        <w:tab w:val="right" w:pos="9072"/>
      </w:tabs>
      <w:spacing w:after="0" w:line="240" w:lineRule="auto"/>
    </w:pPr>
  </w:style>
  <w:style w:type="character" w:customStyle="1" w:styleId="HeaderChar">
    <w:name w:val="Header Char"/>
    <w:link w:val="Header"/>
    <w:uiPriority w:val="99"/>
    <w:rsid w:val="00784EF0"/>
    <w:rPr>
      <w:rFonts w:ascii="Cambria" w:eastAsia="MS Mincho" w:hAnsi="Cambria" w:cs="Cambria"/>
      <w:szCs w:val="20"/>
      <w:lang w:val="fr-FR" w:eastAsia="fr-FR"/>
    </w:rPr>
  </w:style>
  <w:style w:type="paragraph" w:styleId="Footer">
    <w:name w:val="footer"/>
    <w:basedOn w:val="Normal"/>
    <w:link w:val="FooterChar"/>
    <w:uiPriority w:val="99"/>
    <w:unhideWhenUsed/>
    <w:rsid w:val="00784EF0"/>
    <w:pPr>
      <w:tabs>
        <w:tab w:val="center" w:pos="4536"/>
        <w:tab w:val="right" w:pos="9072"/>
      </w:tabs>
      <w:spacing w:after="0" w:line="240" w:lineRule="auto"/>
    </w:pPr>
  </w:style>
  <w:style w:type="character" w:customStyle="1" w:styleId="FooterChar">
    <w:name w:val="Footer Char"/>
    <w:link w:val="Footer"/>
    <w:uiPriority w:val="99"/>
    <w:rsid w:val="00784EF0"/>
    <w:rPr>
      <w:rFonts w:ascii="Cambria" w:eastAsia="MS Mincho" w:hAnsi="Cambria" w:cs="Cambria"/>
      <w:szCs w:val="20"/>
      <w:lang w:val="fr-FR" w:eastAsia="fr-FR"/>
    </w:rPr>
  </w:style>
  <w:style w:type="character" w:styleId="CommentReference">
    <w:name w:val="annotation reference"/>
    <w:uiPriority w:val="99"/>
    <w:semiHidden/>
    <w:unhideWhenUsed/>
    <w:rsid w:val="00FD298E"/>
    <w:rPr>
      <w:sz w:val="16"/>
      <w:szCs w:val="16"/>
    </w:rPr>
  </w:style>
  <w:style w:type="paragraph" w:styleId="CommentText">
    <w:name w:val="annotation text"/>
    <w:basedOn w:val="Normal"/>
    <w:link w:val="CommentTextChar"/>
    <w:uiPriority w:val="99"/>
    <w:semiHidden/>
    <w:unhideWhenUsed/>
    <w:rsid w:val="00FD298E"/>
    <w:pPr>
      <w:spacing w:line="240" w:lineRule="auto"/>
    </w:pPr>
    <w:rPr>
      <w:sz w:val="20"/>
    </w:rPr>
  </w:style>
  <w:style w:type="character" w:customStyle="1" w:styleId="CommentTextChar">
    <w:name w:val="Comment Text Char"/>
    <w:link w:val="CommentText"/>
    <w:uiPriority w:val="99"/>
    <w:semiHidden/>
    <w:rsid w:val="00FD298E"/>
    <w:rPr>
      <w:rFonts w:ascii="Cambria" w:eastAsia="MS Mincho" w:hAnsi="Cambria" w:cs="Cambria"/>
      <w:sz w:val="20"/>
      <w:szCs w:val="20"/>
      <w:lang w:val="fr-FR" w:eastAsia="fr-FR"/>
    </w:rPr>
  </w:style>
  <w:style w:type="paragraph" w:styleId="CommentSubject">
    <w:name w:val="annotation subject"/>
    <w:basedOn w:val="CommentText"/>
    <w:next w:val="CommentText"/>
    <w:link w:val="CommentSubjectChar"/>
    <w:uiPriority w:val="99"/>
    <w:semiHidden/>
    <w:unhideWhenUsed/>
    <w:rsid w:val="00FD298E"/>
    <w:rPr>
      <w:b/>
      <w:bCs/>
    </w:rPr>
  </w:style>
  <w:style w:type="character" w:customStyle="1" w:styleId="CommentSubjectChar">
    <w:name w:val="Comment Subject Char"/>
    <w:link w:val="CommentSubject"/>
    <w:uiPriority w:val="99"/>
    <w:semiHidden/>
    <w:rsid w:val="00FD298E"/>
    <w:rPr>
      <w:rFonts w:ascii="Cambria" w:eastAsia="MS Mincho" w:hAnsi="Cambria" w:cs="Cambria"/>
      <w:b/>
      <w:bCs/>
      <w:sz w:val="20"/>
      <w:szCs w:val="20"/>
      <w:lang w:val="fr-FR" w:eastAsia="fr-FR"/>
    </w:rPr>
  </w:style>
  <w:style w:type="paragraph" w:styleId="Revision">
    <w:name w:val="Revision"/>
    <w:hidden/>
    <w:uiPriority w:val="99"/>
    <w:semiHidden/>
    <w:rsid w:val="00B36584"/>
    <w:rPr>
      <w:rFonts w:ascii="Cambria" w:eastAsia="MS Mincho" w:hAnsi="Cambria" w:cs="Cambria"/>
      <w:sz w:val="22"/>
      <w:lang w:eastAsia="fr-FR"/>
    </w:rPr>
  </w:style>
  <w:style w:type="paragraph" w:styleId="FootnoteText">
    <w:name w:val="footnote text"/>
    <w:basedOn w:val="Normal"/>
    <w:link w:val="FootnoteTextChar"/>
    <w:uiPriority w:val="99"/>
    <w:semiHidden/>
    <w:unhideWhenUsed/>
    <w:rsid w:val="00A73A76"/>
    <w:rPr>
      <w:sz w:val="20"/>
    </w:rPr>
  </w:style>
  <w:style w:type="character" w:customStyle="1" w:styleId="FootnoteTextChar">
    <w:name w:val="Footnote Text Char"/>
    <w:link w:val="FootnoteText"/>
    <w:uiPriority w:val="99"/>
    <w:semiHidden/>
    <w:rsid w:val="00A73A76"/>
    <w:rPr>
      <w:rFonts w:ascii="Cambria" w:eastAsia="MS Mincho" w:hAnsi="Cambria" w:cs="Cambria"/>
      <w:lang w:val="fr-FR" w:eastAsia="fr-FR"/>
    </w:rPr>
  </w:style>
  <w:style w:type="character" w:styleId="FootnoteReference">
    <w:name w:val="footnote reference"/>
    <w:uiPriority w:val="99"/>
    <w:semiHidden/>
    <w:unhideWhenUsed/>
    <w:rsid w:val="00A73A76"/>
    <w:rPr>
      <w:vertAlign w:val="superscript"/>
    </w:rPr>
  </w:style>
  <w:style w:type="paragraph" w:styleId="EndnoteText">
    <w:name w:val="endnote text"/>
    <w:basedOn w:val="Normal"/>
    <w:link w:val="EndnoteTextChar"/>
    <w:uiPriority w:val="99"/>
    <w:semiHidden/>
    <w:unhideWhenUsed/>
    <w:rsid w:val="009476CB"/>
    <w:rPr>
      <w:sz w:val="20"/>
    </w:rPr>
  </w:style>
  <w:style w:type="character" w:customStyle="1" w:styleId="EndnoteTextChar">
    <w:name w:val="Endnote Text Char"/>
    <w:link w:val="EndnoteText"/>
    <w:uiPriority w:val="99"/>
    <w:semiHidden/>
    <w:rsid w:val="009476CB"/>
    <w:rPr>
      <w:rFonts w:ascii="Cambria" w:eastAsia="MS Mincho" w:hAnsi="Cambria" w:cs="Cambria"/>
      <w:lang w:val="fr-FR" w:eastAsia="fr-FR"/>
    </w:rPr>
  </w:style>
  <w:style w:type="character" w:styleId="EndnoteReference">
    <w:name w:val="endnote reference"/>
    <w:uiPriority w:val="99"/>
    <w:semiHidden/>
    <w:unhideWhenUsed/>
    <w:rsid w:val="00947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19">
      <w:bodyDiv w:val="1"/>
      <w:marLeft w:val="0"/>
      <w:marRight w:val="0"/>
      <w:marTop w:val="0"/>
      <w:marBottom w:val="0"/>
      <w:divBdr>
        <w:top w:val="none" w:sz="0" w:space="0" w:color="auto"/>
        <w:left w:val="none" w:sz="0" w:space="0" w:color="auto"/>
        <w:bottom w:val="none" w:sz="0" w:space="0" w:color="auto"/>
        <w:right w:val="none" w:sz="0" w:space="0" w:color="auto"/>
      </w:divBdr>
    </w:div>
    <w:div w:id="841118072">
      <w:bodyDiv w:val="1"/>
      <w:marLeft w:val="0"/>
      <w:marRight w:val="0"/>
      <w:marTop w:val="0"/>
      <w:marBottom w:val="0"/>
      <w:divBdr>
        <w:top w:val="none" w:sz="0" w:space="0" w:color="auto"/>
        <w:left w:val="none" w:sz="0" w:space="0" w:color="auto"/>
        <w:bottom w:val="none" w:sz="0" w:space="0" w:color="auto"/>
        <w:right w:val="none" w:sz="0" w:space="0" w:color="auto"/>
      </w:divBdr>
    </w:div>
    <w:div w:id="1342852346">
      <w:bodyDiv w:val="1"/>
      <w:marLeft w:val="0"/>
      <w:marRight w:val="0"/>
      <w:marTop w:val="0"/>
      <w:marBottom w:val="0"/>
      <w:divBdr>
        <w:top w:val="none" w:sz="0" w:space="0" w:color="auto"/>
        <w:left w:val="none" w:sz="0" w:space="0" w:color="auto"/>
        <w:bottom w:val="none" w:sz="0" w:space="0" w:color="auto"/>
        <w:right w:val="none" w:sz="0" w:space="0" w:color="auto"/>
      </w:divBdr>
    </w:div>
    <w:div w:id="17643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E6AD-F286-4563-8DFE-27BAC743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4</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Lehmann</dc:creator>
  <cp:keywords/>
  <dc:description/>
  <cp:lastModifiedBy>Vuletic Mirna</cp:lastModifiedBy>
  <cp:revision>2</cp:revision>
  <cp:lastPrinted>2019-01-25T12:14:00Z</cp:lastPrinted>
  <dcterms:created xsi:type="dcterms:W3CDTF">2024-01-22T16:11:00Z</dcterms:created>
  <dcterms:modified xsi:type="dcterms:W3CDTF">2024-01-22T16:11:00Z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joernlehmann@vdma.org</vt:lpwstr>
  </property>
  <property fmtid="{D5CDD505-2E9C-101B-9397-08002B2CF9AE}" pid="5" name="MSIP_Label_4c7b1c2a-f9e8-4f99-9b2c-ab826b707fdd_SetDate">
    <vt:lpwstr>2018-09-19T09:52:32.0411831Z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MSIP_Label_6bd9ddd1-4d20-43f6-abfa-fc3c07406f94_Enabled">
    <vt:lpwstr>true</vt:lpwstr>
  </property>
  <property fmtid="{D5CDD505-2E9C-101B-9397-08002B2CF9AE}" pid="10" name="MSIP_Label_6bd9ddd1-4d20-43f6-abfa-fc3c07406f94_SetDate">
    <vt:lpwstr>2023-08-29T08:00:27Z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f58b2495-c5b0-429c-bc85-250b104728b6</vt:lpwstr>
  </property>
  <property fmtid="{D5CDD505-2E9C-101B-9397-08002B2CF9AE}" pid="15" name="MSIP_Label_6bd9ddd1-4d20-43f6-abfa-fc3c07406f94_ContentBits">
    <vt:lpwstr>0</vt:lpwstr>
  </property>
</Properties>
</file>